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F402D">
      <w:bookmarkStart w:id="3" w:name="_GoBack"/>
      <w:bookmarkEnd w:id="3"/>
    </w:p>
    <w:p w14:paraId="5DC6BA90">
      <w:pPr>
        <w:spacing w:line="540" w:lineRule="exact"/>
        <w:jc w:val="center"/>
        <w:rPr>
          <w:rFonts w:eastAsia="华文中宋"/>
          <w:b/>
          <w:kern w:val="0"/>
          <w:sz w:val="52"/>
          <w:szCs w:val="52"/>
        </w:rPr>
      </w:pPr>
    </w:p>
    <w:p w14:paraId="286805D4">
      <w:pPr>
        <w:spacing w:line="540" w:lineRule="exact"/>
        <w:rPr>
          <w:rFonts w:eastAsia="华文中宋"/>
          <w:b/>
          <w:kern w:val="0"/>
          <w:sz w:val="52"/>
          <w:szCs w:val="52"/>
        </w:rPr>
      </w:pPr>
    </w:p>
    <w:p w14:paraId="329C125E">
      <w:pPr>
        <w:spacing w:line="540" w:lineRule="exact"/>
        <w:jc w:val="center"/>
        <w:rPr>
          <w:rFonts w:eastAsia="华文中宋"/>
          <w:b/>
          <w:kern w:val="0"/>
          <w:sz w:val="52"/>
          <w:szCs w:val="52"/>
        </w:rPr>
      </w:pPr>
    </w:p>
    <w:p w14:paraId="06DB033C">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lang w:eastAsia="zh-CN"/>
        </w:rPr>
        <w:t>乌鲁木齐市第</w:t>
      </w:r>
      <w:r>
        <w:rPr>
          <w:rFonts w:hint="eastAsia" w:ascii="方正小标宋_GBK" w:hAnsi="方正小标宋_GBK" w:eastAsia="方正小标宋_GBK" w:cs="方正小标宋_GBK"/>
          <w:kern w:val="0"/>
          <w:sz w:val="48"/>
          <w:szCs w:val="48"/>
          <w:lang w:val="en-US" w:eastAsia="zh-CN"/>
        </w:rPr>
        <w:t>121小学公用经费</w:t>
      </w:r>
      <w:r>
        <w:rPr>
          <w:rFonts w:hint="eastAsia" w:ascii="方正小标宋_GBK" w:hAnsi="方正小标宋_GBK" w:eastAsia="方正小标宋_GBK" w:cs="方正小标宋_GBK"/>
          <w:kern w:val="0"/>
          <w:sz w:val="48"/>
          <w:szCs w:val="48"/>
        </w:rPr>
        <w:t>项目支出绩效评价报告</w:t>
      </w:r>
    </w:p>
    <w:p w14:paraId="7E1AADAB">
      <w:pPr>
        <w:spacing w:line="540" w:lineRule="exact"/>
        <w:jc w:val="center"/>
        <w:rPr>
          <w:rFonts w:eastAsia="华文中宋"/>
          <w:b/>
          <w:kern w:val="0"/>
          <w:sz w:val="52"/>
          <w:szCs w:val="52"/>
        </w:rPr>
      </w:pPr>
    </w:p>
    <w:p w14:paraId="73EB1D8F">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69E8B9F0">
      <w:pPr>
        <w:spacing w:line="540" w:lineRule="exact"/>
        <w:jc w:val="center"/>
        <w:rPr>
          <w:rFonts w:eastAsia="仿宋_GB2312"/>
          <w:kern w:val="0"/>
          <w:sz w:val="30"/>
          <w:szCs w:val="30"/>
        </w:rPr>
      </w:pPr>
    </w:p>
    <w:p w14:paraId="303ABBDD">
      <w:pPr>
        <w:spacing w:line="540" w:lineRule="exact"/>
        <w:jc w:val="center"/>
        <w:rPr>
          <w:rFonts w:eastAsia="仿宋_GB2312"/>
          <w:kern w:val="0"/>
          <w:sz w:val="30"/>
          <w:szCs w:val="30"/>
        </w:rPr>
      </w:pPr>
    </w:p>
    <w:p w14:paraId="32BF249E">
      <w:pPr>
        <w:spacing w:line="540" w:lineRule="exact"/>
        <w:jc w:val="center"/>
        <w:rPr>
          <w:rFonts w:eastAsia="仿宋_GB2312"/>
          <w:kern w:val="0"/>
          <w:sz w:val="30"/>
          <w:szCs w:val="30"/>
        </w:rPr>
      </w:pPr>
    </w:p>
    <w:p w14:paraId="120E8E68">
      <w:pPr>
        <w:pStyle w:val="8"/>
      </w:pPr>
      <w:r>
        <w:rPr>
          <w:rFonts w:hint="eastAsia" w:eastAsia="仿宋_GB2312"/>
          <w:kern w:val="0"/>
          <w:sz w:val="30"/>
          <w:szCs w:val="30"/>
          <w:lang w:eastAsia="zh-CN"/>
        </w:rPr>
        <w:drawing>
          <wp:anchor distT="0" distB="0" distL="114300" distR="114300" simplePos="0" relativeHeight="251659264" behindDoc="1" locked="0" layoutInCell="1" allowOverlap="1">
            <wp:simplePos x="0" y="0"/>
            <wp:positionH relativeFrom="column">
              <wp:posOffset>2482215</wp:posOffset>
            </wp:positionH>
            <wp:positionV relativeFrom="paragraph">
              <wp:posOffset>516890</wp:posOffset>
            </wp:positionV>
            <wp:extent cx="1716405" cy="1678940"/>
            <wp:effectExtent l="0" t="0" r="17145" b="16510"/>
            <wp:wrapNone/>
            <wp:docPr id="1" name="图片 1" descr="lQDPKG7o0sGtWyvNBHjNBJKwA6fF5UHTuZQH8evaQv0ZAA_1170_1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QDPKG7o0sGtWyvNBHjNBJKwA6fF5UHTuZQH8evaQv0ZAA_1170_1144"/>
                    <pic:cNvPicPr>
                      <a:picLocks noChangeAspect="1"/>
                    </pic:cNvPicPr>
                  </pic:nvPicPr>
                  <pic:blipFill>
                    <a:blip r:embed="rId5">
                      <a:clrChange>
                        <a:clrFrom>
                          <a:srgbClr val="FFFDFE">
                            <a:alpha val="100000"/>
                          </a:srgbClr>
                        </a:clrFrom>
                        <a:clrTo>
                          <a:srgbClr val="FFFDFE">
                            <a:alpha val="100000"/>
                            <a:alpha val="0"/>
                          </a:srgbClr>
                        </a:clrTo>
                      </a:clrChange>
                    </a:blip>
                    <a:stretch>
                      <a:fillRect/>
                    </a:stretch>
                  </pic:blipFill>
                  <pic:spPr>
                    <a:xfrm>
                      <a:off x="0" y="0"/>
                      <a:ext cx="1716405" cy="1678940"/>
                    </a:xfrm>
                    <a:prstGeom prst="rect">
                      <a:avLst/>
                    </a:prstGeom>
                  </pic:spPr>
                </pic:pic>
              </a:graphicData>
            </a:graphic>
          </wp:anchor>
        </w:drawing>
      </w:r>
    </w:p>
    <w:p w14:paraId="1B56F91B">
      <w:pPr>
        <w:spacing w:line="540" w:lineRule="exact"/>
        <w:jc w:val="center"/>
        <w:rPr>
          <w:rFonts w:eastAsia="仿宋_GB2312"/>
          <w:kern w:val="0"/>
          <w:sz w:val="30"/>
          <w:szCs w:val="30"/>
        </w:rPr>
      </w:pPr>
    </w:p>
    <w:p w14:paraId="6DE938B3">
      <w:pPr>
        <w:spacing w:line="540" w:lineRule="exact"/>
        <w:rPr>
          <w:rFonts w:hint="eastAsia" w:eastAsia="仿宋_GB2312"/>
          <w:kern w:val="0"/>
          <w:sz w:val="30"/>
          <w:szCs w:val="30"/>
          <w:lang w:eastAsia="zh-CN"/>
        </w:rPr>
      </w:pPr>
    </w:p>
    <w:p w14:paraId="24FC2ABE">
      <w:pPr>
        <w:pStyle w:val="8"/>
        <w:rPr>
          <w:rFonts w:eastAsia="仿宋_GB2312"/>
          <w:kern w:val="0"/>
          <w:sz w:val="30"/>
          <w:szCs w:val="30"/>
        </w:rPr>
      </w:pPr>
    </w:p>
    <w:p w14:paraId="0E359378"/>
    <w:p w14:paraId="25CDB0E5"/>
    <w:p w14:paraId="69E4AE58">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default" w:eastAsia="仿宋_GB2312"/>
          <w:kern w:val="0"/>
          <w:sz w:val="36"/>
          <w:szCs w:val="36"/>
          <w:lang w:val="en-US" w:eastAsia="zh-CN"/>
        </w:rPr>
      </w:pPr>
      <w:r>
        <w:rPr>
          <w:rFonts w:eastAsia="仿宋_GB2312"/>
          <w:kern w:val="0"/>
          <w:sz w:val="36"/>
          <w:szCs w:val="36"/>
        </w:rPr>
        <w:t>项目名称：</w:t>
      </w:r>
      <w:r>
        <w:rPr>
          <w:rFonts w:hint="eastAsia" w:eastAsia="仿宋_GB2312"/>
          <w:kern w:val="0"/>
          <w:sz w:val="36"/>
          <w:szCs w:val="36"/>
          <w:lang w:eastAsia="zh-CN"/>
        </w:rPr>
        <w:t>乌鲁木齐市第</w:t>
      </w:r>
      <w:r>
        <w:rPr>
          <w:rFonts w:hint="eastAsia" w:eastAsia="仿宋_GB2312"/>
          <w:kern w:val="0"/>
          <w:sz w:val="36"/>
          <w:szCs w:val="36"/>
          <w:lang w:val="en-US" w:eastAsia="zh-CN"/>
        </w:rPr>
        <w:t>121小学公用经费</w:t>
      </w:r>
    </w:p>
    <w:p w14:paraId="0890DCBC">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eastAsia="zh-CN"/>
        </w:rPr>
        <w:t>乌鲁木齐市第</w:t>
      </w:r>
      <w:r>
        <w:rPr>
          <w:rFonts w:hint="eastAsia" w:eastAsia="仿宋_GB2312"/>
          <w:kern w:val="0"/>
          <w:sz w:val="36"/>
          <w:szCs w:val="36"/>
          <w:lang w:val="en-US" w:eastAsia="zh-CN"/>
        </w:rPr>
        <w:t>121小学</w:t>
      </w:r>
    </w:p>
    <w:p w14:paraId="45638A7C">
      <w:pPr>
        <w:spacing w:line="540" w:lineRule="exact"/>
        <w:rPr>
          <w:rFonts w:hint="eastAsia"/>
          <w:lang w:val="en-US" w:eastAsia="zh-CN"/>
        </w:rPr>
      </w:pPr>
      <w:r>
        <w:rPr>
          <w:rFonts w:hint="eastAsia" w:hAnsi="宋体" w:eastAsia="仿宋_GB2312" w:cs="宋体"/>
          <w:kern w:val="0"/>
          <w:sz w:val="36"/>
          <w:szCs w:val="36"/>
        </w:rPr>
        <w:t>主管部门（公章）：</w:t>
      </w:r>
      <w:r>
        <w:rPr>
          <w:rFonts w:hint="eastAsia" w:eastAsia="仿宋_GB2312"/>
          <w:kern w:val="0"/>
          <w:sz w:val="36"/>
          <w:szCs w:val="36"/>
          <w:lang w:eastAsia="zh-CN"/>
        </w:rPr>
        <w:t>乌鲁木齐市第</w:t>
      </w:r>
      <w:r>
        <w:rPr>
          <w:rFonts w:hint="eastAsia" w:eastAsia="仿宋_GB2312"/>
          <w:kern w:val="0"/>
          <w:sz w:val="36"/>
          <w:szCs w:val="36"/>
          <w:lang w:val="en-US" w:eastAsia="zh-CN"/>
        </w:rPr>
        <w:t>121小学</w:t>
      </w:r>
    </w:p>
    <w:p w14:paraId="63B41F3B">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eastAsia="仿宋_GB2312"/>
          <w:kern w:val="0"/>
          <w:sz w:val="36"/>
          <w:szCs w:val="36"/>
          <w:lang w:val="en-US" w:eastAsia="zh-CN"/>
        </w:rPr>
      </w:pPr>
      <w:r>
        <w:rPr>
          <w:rFonts w:hint="eastAsia" w:eastAsia="仿宋_GB2312"/>
          <w:kern w:val="0"/>
          <w:sz w:val="36"/>
          <w:szCs w:val="36"/>
          <w:lang w:val="en-US" w:eastAsia="zh-CN"/>
        </w:rPr>
        <w:t>项目负责</w:t>
      </w:r>
      <w:r>
        <w:rPr>
          <w:rFonts w:eastAsia="仿宋_GB2312"/>
          <w:kern w:val="0"/>
          <w:sz w:val="36"/>
          <w:szCs w:val="36"/>
        </w:rPr>
        <w:t>人（签章）：</w:t>
      </w:r>
      <w:r>
        <w:rPr>
          <w:rFonts w:hint="eastAsia" w:eastAsia="仿宋_GB2312"/>
          <w:kern w:val="0"/>
          <w:sz w:val="36"/>
          <w:szCs w:val="36"/>
          <w:lang w:val="en-US" w:eastAsia="zh-CN"/>
        </w:rPr>
        <w:t>李磊</w:t>
      </w:r>
    </w:p>
    <w:p w14:paraId="3A0A5A63">
      <w:pPr>
        <w:keepNext w:val="0"/>
        <w:keepLines w:val="0"/>
        <w:pageBreakBefore w:val="0"/>
        <w:widowControl w:val="0"/>
        <w:kinsoku/>
        <w:wordWrap/>
        <w:overflowPunct/>
        <w:topLinePunct w:val="0"/>
        <w:autoSpaceDE/>
        <w:autoSpaceDN/>
        <w:bidi w:val="0"/>
        <w:adjustRightInd/>
        <w:snapToGrid/>
        <w:spacing w:line="700" w:lineRule="exact"/>
        <w:jc w:val="both"/>
        <w:textAlignment w:val="auto"/>
        <w:rPr>
          <w:rStyle w:val="14"/>
          <w:rFonts w:eastAsia="黑体"/>
          <w:b w:val="0"/>
          <w:spacing w:val="-4"/>
          <w:sz w:val="32"/>
          <w:szCs w:val="32"/>
        </w:rPr>
        <w:sectPr>
          <w:pgSz w:w="11906" w:h="16838"/>
          <w:pgMar w:top="1440" w:right="1558" w:bottom="1440" w:left="1800" w:header="851" w:footer="992" w:gutter="0"/>
          <w:cols w:space="425" w:num="1"/>
          <w:docGrid w:type="lines" w:linePitch="312" w:charSpace="0"/>
        </w:sect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15</w:t>
      </w:r>
      <w:r>
        <w:rPr>
          <w:rFonts w:eastAsia="仿宋_GB2312"/>
          <w:kern w:val="0"/>
          <w:sz w:val="36"/>
          <w:szCs w:val="36"/>
        </w:rPr>
        <w:t>日</w:t>
      </w:r>
    </w:p>
    <w:p w14:paraId="0C7D269E">
      <w:pPr>
        <w:spacing w:line="560" w:lineRule="exact"/>
        <w:ind w:firstLine="640" w:firstLineChars="200"/>
        <w:rPr>
          <w:rFonts w:eastAsia="黑体"/>
          <w:bCs/>
          <w:sz w:val="32"/>
          <w:szCs w:val="32"/>
        </w:rPr>
      </w:pPr>
      <w:r>
        <w:rPr>
          <w:rFonts w:eastAsia="黑体"/>
          <w:bCs/>
          <w:sz w:val="32"/>
          <w:szCs w:val="32"/>
        </w:rPr>
        <w:t>一、基本情况</w:t>
      </w:r>
    </w:p>
    <w:p w14:paraId="2BE6B37B">
      <w:pPr>
        <w:spacing w:line="560" w:lineRule="exact"/>
        <w:ind w:firstLine="643" w:firstLineChars="200"/>
        <w:rPr>
          <w:rFonts w:eastAsia="楷体_GB2312"/>
          <w:b/>
          <w:bCs/>
          <w:sz w:val="32"/>
          <w:szCs w:val="32"/>
        </w:rPr>
      </w:pPr>
      <w:r>
        <w:rPr>
          <w:rFonts w:eastAsia="楷体_GB2312"/>
          <w:b/>
          <w:bCs/>
          <w:sz w:val="32"/>
          <w:szCs w:val="32"/>
        </w:rPr>
        <w:t>（一）项目概况</w:t>
      </w:r>
    </w:p>
    <w:p w14:paraId="2A07FF39">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6665EF05">
      <w:pPr>
        <w:pStyle w:val="19"/>
        <w:spacing w:line="560" w:lineRule="exact"/>
        <w:ind w:left="0" w:leftChars="0" w:firstLine="0" w:firstLine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根据《财政部教育部关于提前下达2024年城乡义务教育补助经费预算(中央直达资金)的通知》(财教[2023]215号)、自治区财政厅《关于提前下达2024年城乡义务教育补助经费预算(中央直达资金)的通知》(新财教〔2023]243号)及我单位2024年教育事业统计学生人数，市本级单位经市教育局核定后下达我单位乌财科教[2023]167号关于提前下达2024年城乡义务教育补助经费预算[中央直达资金]的通知（公用经费-小学)83.53万元。从2023年春季学期起提高义务教育学校生均公用经费基准定额，小学由年均650元提高到720元，初中由850元提高到940元。在此基础上，将原来对寄宿制学校按照寄宿生年生均200元标准增加公用经费补助，提高到300元。</w:t>
      </w:r>
    </w:p>
    <w:p w14:paraId="5AFB460A">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城乡义务教育补助经费项目是以习近平新时代中国特色社会主义思想统领新疆教育改革发展，优化教育支出结构，提高普通公立小学教育发展水平，按照乌鲁木齐市</w:t>
      </w:r>
    </w:p>
    <w:p w14:paraId="6E39F041">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“教育惠民”政策安排部署的总体要求，开展实施本项目。加强和规范项目经费使用管理，强化绩效管理，切实提高财政资金使用效益。水区财政按照教育局审核确</w:t>
      </w:r>
    </w:p>
    <w:p w14:paraId="2B31B576">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定正式学籍的在校生人数和核定标准，落实该项目所需资金。我区义务教育经费保障水平逐年提高，义务教育阶段学校办学条件逐步改善，办学行为逐步规范，该项</w:t>
      </w:r>
    </w:p>
    <w:p w14:paraId="753D8CC5">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目的支出可以改善办学条件，有效促进全区义务教育的均衡、健康发展。各级财政始终将教育民生工程列为政府的重点工作之一，进一步建立和完善义务教育经费保</w:t>
      </w:r>
    </w:p>
    <w:p w14:paraId="62FF65AA">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障机制改革工作机制，全面落实国家和省出台的各项政策措施，加强义务教育各项专项资金的管理。</w:t>
      </w:r>
    </w:p>
    <w:p w14:paraId="5111A266">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2.项目主要内容及实施情况</w:t>
      </w:r>
    </w:p>
    <w:p w14:paraId="19404BCE">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项目主要内容：该项目用于保障义务教育阶段学校正常运转、完成教育教学活动和其他日常工作任务等方面的支出，该经费的具体开支范围是：教学业务与管理、教</w:t>
      </w:r>
    </w:p>
    <w:p w14:paraId="17CDE2A7">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学质量提升及第三方评价的政府购买服务、办公、会议、印刷、教师培训、实验实习、文体活动、水电、取暖、交通差旅、邮电、教育信息化网络费用、仪器设备及</w:t>
      </w:r>
    </w:p>
    <w:p w14:paraId="41DAD674">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图书资料等购置、学生课桌凳、食堂设施设备的零星补充购置及维修维护，房屋、建筑物、校园内道路、围墙、大门、运动场地、教室内教师讲台及仪器设备的日常</w:t>
      </w:r>
    </w:p>
    <w:p w14:paraId="27205B43">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维修维护，校园绿化美化、校园文化建设等。</w:t>
      </w:r>
    </w:p>
    <w:p w14:paraId="67AD35C1">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项目实施情况：项目目前已经完成实际设立的目标，项目在实施过程中严格按照目标设立的各阶段任务进行开展工作，在前期立项过程中严格把质量关，建立安全防</w:t>
      </w:r>
    </w:p>
    <w:p w14:paraId="4A1847B9">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护机制，保证项目实施各阶段安全顺利进行。项目共安排预算83.53万元，实际支付64.54万元。</w:t>
      </w:r>
    </w:p>
    <w:p w14:paraId="1FB33C36">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3.资金投入和使用情况</w:t>
      </w:r>
    </w:p>
    <w:p w14:paraId="22448CEF">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（1）资金投入情况</w:t>
      </w:r>
    </w:p>
    <w:p w14:paraId="16979B8F">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该项目年初预算数83.53万元，全年预算数83.53万元，资金到位64.54万元，资金到位率77.27%，资金来源为上级一般公共预算安排的转移支付。</w:t>
      </w:r>
    </w:p>
    <w:p w14:paraId="32362101">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（2）资金使用情况</w:t>
      </w:r>
    </w:p>
    <w:p w14:paraId="71A0017E">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该项目年初预算数83.53万元，全年预算数83.53万元，全年执行数64.54万元，预算执行率为77.27%，主要用于：保障义务教育阶段学校正常运转、完成教育教学活动和其他日常工作任务等方面的支出，用于购买日常办公用品，支付水费、电费、电话费，房屋建筑物及日常零星维修维护，教师培训费，购买专用材料费用，仪器设备等购置。</w:t>
      </w:r>
    </w:p>
    <w:p w14:paraId="460E7FA9">
      <w:pPr>
        <w:spacing w:line="560" w:lineRule="exact"/>
        <w:ind w:firstLine="643" w:firstLineChars="200"/>
        <w:rPr>
          <w:rFonts w:eastAsia="楷体_GB2312"/>
          <w:b/>
          <w:bCs/>
          <w:sz w:val="32"/>
          <w:szCs w:val="32"/>
        </w:rPr>
      </w:pPr>
      <w:r>
        <w:rPr>
          <w:rFonts w:eastAsia="楷体_GB2312"/>
          <w:b/>
          <w:bCs/>
          <w:sz w:val="32"/>
          <w:szCs w:val="32"/>
        </w:rPr>
        <w:t>（二）项目绩效目标</w:t>
      </w:r>
    </w:p>
    <w:p w14:paraId="3248FDF2">
      <w:p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1.总体目标</w:t>
      </w:r>
    </w:p>
    <w:p w14:paraId="3C3A3A25">
      <w:pPr>
        <w:pStyle w:val="8"/>
        <w:jc w:val="left"/>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 xml:space="preserve">    该项目用以教学设备设施的购置水电费及教师的培训，计划为：培训80000元，办公费200000元，专用材料费200000元，其他商品和服务支出200000元，水电费155380元（冬季电采暖耗电量高）。共计83.53万元。 购置教学设备种类不低于40类，每次成本低于5000元。 教师培训人次不低于20人次，每次成本控制在3000元以内。 培训及时完成率要达到100%，购置各类教学设备设施的合格率要达到95%。及时支付水电费。我校将努力提高教育、教学水平，认真改善办学条件。</w:t>
      </w:r>
    </w:p>
    <w:p w14:paraId="158E7C4C">
      <w:p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用于弥补学校的公用经费支出，用于维持学校常规性教育教学工作，保障学校正常教育教学工作的开展。此项目资金共83.53万元，其中12.2万元用于水电费支付；1万元用于电话费支付；5.49万元用于设备维修；34.65万元用于购置教学办公用品；3.62万用于学生体检。7.58万元用于教师培训。项目经费采用直接支付形式，严格按照项目资金管理办法对资金进行计划申请、划拨、使用，及时规范对收支进行账务处理和会计核算。我单位严格按照相关规定执行，确保项目顺利展开。我校将努力提高教育、教学水平，认真改善办学条件，有效保障学校正常运转，完成教育教学活动和其他日常工作任务等。从而实现该项目的社会效益，提高学校教学水平、改善办学条件。</w:t>
      </w:r>
    </w:p>
    <w:p w14:paraId="109F1529">
      <w:p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2.阶段性目标</w:t>
      </w:r>
    </w:p>
    <w:p w14:paraId="0FC1C3D1">
      <w:pPr>
        <w:spacing w:line="560" w:lineRule="exact"/>
        <w:ind w:firstLine="643" w:firstLineChars="200"/>
        <w:rPr>
          <w:rFonts w:hint="eastAsia" w:ascii="仿宋_GB2312" w:hAnsi="仿宋_GB2312" w:eastAsia="仿宋_GB2312" w:cs="仿宋_GB2312"/>
          <w:b/>
          <w:bCs/>
          <w:kern w:val="0"/>
          <w:sz w:val="32"/>
          <w:szCs w:val="32"/>
          <w:highlight w:val="yellow"/>
          <w:lang w:val="en-US" w:eastAsia="zh-CN" w:bidi="ar-SA"/>
        </w:rPr>
      </w:pPr>
      <w:r>
        <w:rPr>
          <w:rFonts w:hint="eastAsia" w:ascii="仿宋_GB2312" w:hAnsi="仿宋_GB2312" w:eastAsia="仿宋_GB2312" w:cs="仿宋_GB2312"/>
          <w:b/>
          <w:bCs/>
          <w:kern w:val="0"/>
          <w:sz w:val="32"/>
          <w:szCs w:val="32"/>
          <w:lang w:val="en-US" w:eastAsia="zh-CN" w:bidi="ar-SA"/>
        </w:rPr>
        <w:t>该项目用于保障义务教育阶段学校正常运转、完成教育教学活动和其他日常工作任务等方面的支出，阶段性完成单位日常办公用品的购买，支付上半年度教师培训费用。努力提高教育、教学水平，认真改善办学条件，有效保障学校正常运转，完成教育教学活动和其他日常工作任务</w:t>
      </w:r>
    </w:p>
    <w:p w14:paraId="2612808B">
      <w:pPr>
        <w:spacing w:line="560" w:lineRule="exact"/>
        <w:ind w:firstLine="640" w:firstLineChars="200"/>
        <w:rPr>
          <w:rFonts w:eastAsia="黑体"/>
          <w:sz w:val="32"/>
          <w:szCs w:val="32"/>
        </w:rPr>
      </w:pPr>
      <w:r>
        <w:rPr>
          <w:rFonts w:eastAsia="黑体"/>
          <w:sz w:val="32"/>
          <w:szCs w:val="32"/>
        </w:rPr>
        <w:t>二、绩效评价工作开展情况</w:t>
      </w:r>
    </w:p>
    <w:p w14:paraId="53BA4C3F">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772AE903">
      <w:pPr>
        <w:pStyle w:val="19"/>
        <w:spacing w:line="560" w:lineRule="exact"/>
        <w:ind w:firstLine="64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1.绩效评价的目的</w:t>
      </w:r>
    </w:p>
    <w:p w14:paraId="4C4A65BF">
      <w:p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F73CFB6">
      <w:pPr>
        <w:numPr>
          <w:ilvl w:val="0"/>
          <w:numId w:val="1"/>
        </w:num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项目在实施前向项目负责人提供财政支出绩效方面的资金管理信息，促进项目支出严格按照资金管理规定进行。</w:t>
      </w:r>
    </w:p>
    <w:p w14:paraId="6B7EA64C">
      <w:p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（2）项目绩效管理财政支出运行提供及时、有效的信息。</w:t>
      </w:r>
    </w:p>
    <w:p w14:paraId="536A0686">
      <w:pPr>
        <w:pStyle w:val="19"/>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3C4DDCD">
      <w:pPr>
        <w:pStyle w:val="19"/>
        <w:spacing w:line="560" w:lineRule="exact"/>
        <w:ind w:firstLine="64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2.绩效评价的对象</w:t>
      </w:r>
    </w:p>
    <w:p w14:paraId="43DA1506">
      <w:p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乌鲁木齐市第121小学公用经费所包含的全部项目内容。</w:t>
      </w:r>
    </w:p>
    <w:p w14:paraId="123FFAFE">
      <w:pPr>
        <w:pStyle w:val="19"/>
        <w:spacing w:line="560" w:lineRule="exact"/>
        <w:ind w:firstLine="64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3.绩效评价的范围</w:t>
      </w:r>
    </w:p>
    <w:p w14:paraId="762CEB5B">
      <w:p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本次评价从项目决策（包括绩效目标、决策过程）、项目管理（包括项目资金、项目实施）、项目产出（包括项目产出数量、产出质量、产出时效和产出成本）项目效益四个维度对公用经费项目进行评价，评价核心为专项资金的支出完成情况和效果。</w:t>
      </w:r>
    </w:p>
    <w:p w14:paraId="6B8C2487">
      <w:p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（二）绩效评价原则、评价指标体系（详情见附件2）、评价方法、评价标准</w:t>
      </w:r>
    </w:p>
    <w:p w14:paraId="6571607D">
      <w:pPr>
        <w:pStyle w:val="19"/>
        <w:spacing w:line="560" w:lineRule="exact"/>
        <w:ind w:firstLine="64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1.绩效评价原则</w:t>
      </w:r>
    </w:p>
    <w:p w14:paraId="10C5C6A9">
      <w:p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本次项目绩效评价遵循以下基本原则：</w:t>
      </w:r>
    </w:p>
    <w:p w14:paraId="61AE56F1">
      <w:pPr>
        <w:pStyle w:val="8"/>
        <w:spacing w:before="0" w:after="0" w:line="560" w:lineRule="exact"/>
        <w:ind w:firstLine="643" w:firstLineChars="200"/>
        <w:jc w:val="both"/>
        <w:outlineLvl w:val="9"/>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（1）科学公正。绩效评价应当运用科学合理的方法，按照规范的程序，对项目绩效进行客观、公正的反映。</w:t>
      </w:r>
    </w:p>
    <w:p w14:paraId="28D7522E">
      <w:pPr>
        <w:pStyle w:val="8"/>
        <w:spacing w:before="0" w:after="0" w:line="560" w:lineRule="exact"/>
        <w:ind w:firstLine="643" w:firstLineChars="200"/>
        <w:jc w:val="both"/>
        <w:outlineLvl w:val="9"/>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49C50FA1">
      <w:pPr>
        <w:pStyle w:val="8"/>
        <w:spacing w:before="0" w:after="0" w:line="560" w:lineRule="exact"/>
        <w:ind w:firstLine="643" w:firstLineChars="200"/>
        <w:jc w:val="both"/>
        <w:outlineLvl w:val="9"/>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（3）激励约束。绩效评价结果应与预算安排、政策调整、改进管理实质性挂钩，体现奖优罚劣和激励相容导向，有效要安排、低效要压减、无效要问责。</w:t>
      </w:r>
    </w:p>
    <w:p w14:paraId="3BBA86E8">
      <w:pPr>
        <w:pStyle w:val="8"/>
        <w:spacing w:before="0" w:after="0" w:line="560" w:lineRule="exact"/>
        <w:ind w:firstLine="643" w:firstLineChars="200"/>
        <w:jc w:val="both"/>
        <w:outlineLvl w:val="9"/>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（4）公开透明。绩效评价结果应依法依规公开，并自觉接受社会监督。</w:t>
      </w:r>
    </w:p>
    <w:p w14:paraId="7A1F2F2D">
      <w:pPr>
        <w:rPr>
          <w:rFonts w:hint="eastAsia" w:ascii="仿宋_GB2312" w:hAnsi="仿宋_GB2312" w:eastAsia="仿宋_GB2312" w:cs="仿宋_GB2312"/>
          <w:b/>
          <w:bCs/>
          <w:kern w:val="0"/>
          <w:sz w:val="32"/>
          <w:szCs w:val="32"/>
          <w:lang w:val="en-US" w:eastAsia="zh-CN" w:bidi="ar-SA"/>
        </w:rPr>
      </w:pPr>
      <w:r>
        <w:br w:type="page"/>
      </w:r>
    </w:p>
    <w:p w14:paraId="2A9B7AAD">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1E55F5C2">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42B4FE7D">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4781BB2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81C1CA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39268D3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2CF7B61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1B867D5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3065015E">
      <w:pPr>
        <w:pStyle w:val="8"/>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A3496E9">
      <w:pPr>
        <w:pStyle w:val="8"/>
        <w:widowControl w:val="0"/>
        <w:spacing w:before="0" w:after="0" w:line="560" w:lineRule="exact"/>
        <w:ind w:firstLine="708" w:firstLineChars="200"/>
        <w:jc w:val="both"/>
        <w:outlineLvl w:val="9"/>
        <w:rPr>
          <w:rFonts w:hint="default" w:ascii="Times New Roman" w:hAnsi="Times New Roman" w:eastAsia="仿宋_GB2312"/>
          <w:b w:val="0"/>
          <w:bCs w:val="0"/>
          <w:color w:val="000000"/>
          <w:spacing w:val="17"/>
          <w:lang w:val="en-US" w:eastAsia="zh-CN"/>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lang w:val="en-US" w:eastAsia="zh-CN"/>
        </w:rPr>
        <w:t>2。</w:t>
      </w:r>
    </w:p>
    <w:p w14:paraId="7F84DFB9">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66F83EA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7B715E5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5AAFA6B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080EAB1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通过对绩效目标与实施效果、历史与当期情况，综合分析绩效目标实现程度。对项目最终验收情况与年度绩效目标对比、预算资金执行情况等相关因素进行比较。</w:t>
      </w:r>
    </w:p>
    <w:p w14:paraId="0E57FFB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30EBB6B6">
      <w:pPr>
        <w:spacing w:line="560" w:lineRule="exact"/>
        <w:ind w:firstLine="640"/>
        <w:rPr>
          <w:rFonts w:hint="eastAsia" w:eastAsia="方正仿宋_GBK" w:cs="方正仿宋_GBK"/>
          <w:sz w:val="32"/>
          <w:szCs w:val="32"/>
        </w:rPr>
      </w:pPr>
      <w:r>
        <w:rPr>
          <w:rFonts w:eastAsia="仿宋_GB2312"/>
          <w:color w:val="000000"/>
          <w:spacing w:val="17"/>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w:t>
      </w:r>
      <w:r>
        <w:rPr>
          <w:rFonts w:hint="eastAsia" w:eastAsia="方正仿宋_GBK" w:cs="方正仿宋_GBK"/>
          <w:sz w:val="32"/>
          <w:szCs w:val="32"/>
        </w:rPr>
        <w:t>影响。</w:t>
      </w:r>
    </w:p>
    <w:p w14:paraId="3C5AC3A0">
      <w:pPr>
        <w:spacing w:line="560" w:lineRule="exact"/>
        <w:ind w:firstLine="640"/>
        <w:rPr>
          <w:rFonts w:hint="eastAsia" w:eastAsia="方正仿宋_GBK" w:cs="方正仿宋_GBK"/>
          <w:sz w:val="32"/>
          <w:szCs w:val="32"/>
        </w:rPr>
      </w:pPr>
      <w:r>
        <w:rPr>
          <w:rFonts w:hint="eastAsia" w:eastAsia="方正仿宋_GBK" w:cs="方正仿宋_GBK"/>
          <w:sz w:val="32"/>
          <w:szCs w:val="32"/>
        </w:rPr>
        <w:t>4</w:t>
      </w:r>
      <w:r>
        <w:rPr>
          <w:rFonts w:hint="eastAsia" w:eastAsia="方正仿宋_GBK" w:cs="方正仿宋_GBK"/>
          <w:sz w:val="32"/>
          <w:szCs w:val="32"/>
          <w:lang w:eastAsia="zh-CN"/>
        </w:rPr>
        <w:t>.</w:t>
      </w:r>
      <w:r>
        <w:rPr>
          <w:rFonts w:hint="eastAsia" w:eastAsia="方正仿宋_GBK" w:cs="方正仿宋_GBK"/>
          <w:sz w:val="32"/>
          <w:szCs w:val="32"/>
        </w:rPr>
        <w:t>评价标准</w:t>
      </w:r>
    </w:p>
    <w:p w14:paraId="14998B44">
      <w:pPr>
        <w:spacing w:line="560" w:lineRule="exact"/>
        <w:ind w:firstLine="640"/>
        <w:rPr>
          <w:rFonts w:hint="eastAsia" w:eastAsia="方正仿宋_GBK" w:cs="方正仿宋_GBK"/>
          <w:sz w:val="32"/>
          <w:szCs w:val="32"/>
        </w:rPr>
      </w:pPr>
      <w:r>
        <w:rPr>
          <w:rFonts w:hint="eastAsia" w:eastAsia="方正仿宋_GBK" w:cs="方正仿宋_GBK"/>
          <w:sz w:val="32"/>
          <w:szCs w:val="32"/>
        </w:rPr>
        <w:t>绩效评价标准通常包括计划标准、行业标准、历史标准等，用于对绩效指标完成情况进行比较、分析、评价。本次评价主要采用了</w:t>
      </w:r>
      <w:r>
        <w:rPr>
          <w:rFonts w:hint="eastAsia" w:eastAsia="方正仿宋_GBK" w:cs="方正仿宋_GBK"/>
          <w:sz w:val="32"/>
          <w:szCs w:val="32"/>
          <w:lang w:eastAsia="zh-CN"/>
        </w:rPr>
        <w:t>计划</w:t>
      </w:r>
      <w:r>
        <w:rPr>
          <w:rFonts w:hint="eastAsia" w:eastAsia="方正仿宋_GBK" w:cs="方正仿宋_GBK"/>
          <w:sz w:val="32"/>
          <w:szCs w:val="32"/>
        </w:rPr>
        <w:t>标准。</w:t>
      </w:r>
    </w:p>
    <w:p w14:paraId="17EEF0BC">
      <w:pPr>
        <w:spacing w:line="560" w:lineRule="exact"/>
        <w:ind w:firstLine="640"/>
        <w:rPr>
          <w:rFonts w:hint="eastAsia" w:eastAsia="方正仿宋_GBK" w:cs="方正仿宋_GBK"/>
          <w:sz w:val="32"/>
          <w:szCs w:val="32"/>
        </w:rPr>
      </w:pPr>
      <w:bookmarkStart w:id="0" w:name="_Toc31464"/>
      <w:bookmarkStart w:id="1" w:name="_Toc17882"/>
      <w:r>
        <w:rPr>
          <w:rFonts w:hint="eastAsia" w:eastAsia="方正仿宋_GBK" w:cs="方正仿宋_GBK"/>
          <w:sz w:val="32"/>
          <w:szCs w:val="32"/>
        </w:rPr>
        <w:t>计划标准：指以预先制定的目标、计划、预算、定额等作为评价标准。</w:t>
      </w:r>
      <w:bookmarkEnd w:id="0"/>
      <w:bookmarkEnd w:id="1"/>
    </w:p>
    <w:p w14:paraId="798F1C5A">
      <w:pPr>
        <w:spacing w:line="560" w:lineRule="exact"/>
        <w:ind w:firstLine="640"/>
        <w:rPr>
          <w:rFonts w:eastAsia="方正仿宋_GBK" w:cs="方正仿宋_GBK"/>
          <w:sz w:val="32"/>
          <w:szCs w:val="32"/>
        </w:rPr>
      </w:pPr>
    </w:p>
    <w:p w14:paraId="6569CFF3">
      <w:pPr>
        <w:pStyle w:val="8"/>
        <w:numPr>
          <w:ilvl w:val="0"/>
          <w:numId w:val="2"/>
        </w:numPr>
        <w:spacing w:before="0" w:after="0" w:line="560" w:lineRule="exact"/>
        <w:ind w:left="-81" w:leftChars="0" w:firstLine="711" w:firstLineChars="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15321C21">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563B0091">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46268813">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42259C99">
      <w:pPr>
        <w:numPr>
          <w:ilvl w:val="0"/>
          <w:numId w:val="3"/>
        </w:numPr>
        <w:spacing w:line="560" w:lineRule="exact"/>
        <w:ind w:left="-220" w:leftChars="0" w:firstLine="640" w:firstLineChars="0"/>
        <w:rPr>
          <w:rFonts w:eastAsia="黑体"/>
          <w:sz w:val="32"/>
          <w:szCs w:val="32"/>
        </w:rPr>
      </w:pPr>
      <w:r>
        <w:rPr>
          <w:rFonts w:eastAsia="黑体"/>
          <w:sz w:val="32"/>
          <w:szCs w:val="32"/>
        </w:rPr>
        <w:t>综合评价情况及评价结论</w:t>
      </w:r>
    </w:p>
    <w:p w14:paraId="47B68589">
      <w:pPr>
        <w:pStyle w:val="8"/>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7D81BE7D">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5B25600">
      <w:pPr>
        <w:pStyle w:val="8"/>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700D9AA5">
      <w:pPr>
        <w:pStyle w:val="8"/>
        <w:widowControl w:val="0"/>
        <w:spacing w:before="0" w:after="0" w:line="560" w:lineRule="exact"/>
        <w:ind w:firstLine="640" w:firstLineChars="200"/>
        <w:jc w:val="both"/>
        <w:outlineLvl w:val="9"/>
        <w:rPr>
          <w:rFonts w:hint="eastAsia"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p>
    <w:p w14:paraId="3853069C">
      <w:pPr>
        <w:pStyle w:val="8"/>
        <w:widowControl w:val="0"/>
        <w:spacing w:before="0" w:after="0" w:line="560" w:lineRule="exact"/>
        <w:ind w:firstLine="640" w:firstLineChars="200"/>
        <w:jc w:val="both"/>
        <w:outlineLvl w:val="9"/>
        <w:rPr>
          <w:rFonts w:hint="eastAsia" w:ascii="Times New Roman" w:hAnsi="Times New Roman" w:eastAsia="仿宋_GB2312"/>
          <w:b w:val="0"/>
          <w:bCs w:val="0"/>
        </w:rPr>
      </w:pPr>
      <w:r>
        <w:rPr>
          <w:rFonts w:hint="eastAsia" w:ascii="Times New Roman" w:hAnsi="Times New Roman" w:eastAsia="仿宋_GB2312"/>
          <w:b w:val="0"/>
          <w:bCs w:val="0"/>
        </w:rPr>
        <w:t>（一）评价情况</w:t>
      </w:r>
    </w:p>
    <w:p w14:paraId="66C1282B">
      <w:pPr>
        <w:pStyle w:val="8"/>
        <w:widowControl w:val="0"/>
        <w:spacing w:before="0" w:after="0" w:line="560" w:lineRule="exact"/>
        <w:ind w:firstLine="640" w:firstLineChars="200"/>
        <w:jc w:val="both"/>
        <w:outlineLvl w:val="9"/>
        <w:rPr>
          <w:rFonts w:hint="eastAsia" w:ascii="Times New Roman" w:hAnsi="Times New Roman" w:eastAsia="仿宋_GB2312"/>
          <w:b w:val="0"/>
          <w:bCs w:val="0"/>
        </w:rPr>
      </w:pPr>
      <w:r>
        <w:rPr>
          <w:rFonts w:hint="eastAsia" w:ascii="Times New Roman" w:hAnsi="Times New Roman" w:eastAsia="仿宋_GB2312"/>
          <w:b w:val="0"/>
          <w:bCs w:val="0"/>
        </w:rPr>
        <w:t>项目总体组织规范，在项目实施过程做到认真履职，监督到位。按照相关制度的要求，项目负责人对项目绩效监控执行情况进行跟踪监督，有效完成了本项目的工作</w:t>
      </w:r>
    </w:p>
    <w:p w14:paraId="61C50ABD">
      <w:pPr>
        <w:pStyle w:val="8"/>
        <w:widowControl w:val="0"/>
        <w:spacing w:before="0" w:after="0" w:line="560" w:lineRule="exact"/>
        <w:ind w:firstLine="640" w:firstLineChars="200"/>
        <w:jc w:val="both"/>
        <w:outlineLvl w:val="9"/>
        <w:rPr>
          <w:rFonts w:hint="eastAsia" w:ascii="Times New Roman" w:hAnsi="Times New Roman" w:eastAsia="仿宋_GB2312"/>
          <w:b w:val="0"/>
          <w:bCs w:val="0"/>
        </w:rPr>
      </w:pPr>
      <w:r>
        <w:rPr>
          <w:rFonts w:hint="eastAsia" w:ascii="Times New Roman" w:hAnsi="Times New Roman" w:eastAsia="仿宋_GB2312"/>
          <w:b w:val="0"/>
          <w:bCs w:val="0"/>
        </w:rPr>
        <w:t>目标，确保资金使用安全和最大效益的发挥，保障项目如期按要求完成。规范了项目档案资料的整理。项目的实施达到项目预期效果。</w:t>
      </w:r>
    </w:p>
    <w:p w14:paraId="37A73871">
      <w:pPr>
        <w:pStyle w:val="8"/>
        <w:widowControl w:val="0"/>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Times New Roman" w:hAnsi="Times New Roman" w:eastAsia="仿宋_GB2312"/>
          <w:b w:val="0"/>
          <w:bCs w:val="0"/>
        </w:rPr>
        <w:t>（二）评价结</w:t>
      </w:r>
      <w:r>
        <w:rPr>
          <w:rFonts w:hint="eastAsia" w:ascii="仿宋_GB2312" w:hAnsi="仿宋_GB2312" w:eastAsia="仿宋_GB2312" w:cs="仿宋_GB2312"/>
          <w:b w:val="0"/>
          <w:bCs w:val="0"/>
          <w:kern w:val="2"/>
          <w:sz w:val="32"/>
          <w:szCs w:val="32"/>
          <w:lang w:val="en-US" w:eastAsia="zh-CN" w:bidi="ar-SA"/>
        </w:rPr>
        <w:t>论</w:t>
      </w:r>
    </w:p>
    <w:p w14:paraId="686E14B1">
      <w:pPr>
        <w:pStyle w:val="8"/>
        <w:widowControl w:val="0"/>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99.84分，属于“优”。其中，项目决策类指标权重为20分，得分为20分，得分率为100%。项目过程类指标权重为20分，得分为20分，得分率为 100%。项目产出类指标权重为40分，得分为39.84分，得分率为99.6%。项目效益类指标权重为20分，得分为20分，得分率为100%。具体打分情况详见：表1.综合评分表。</w:t>
      </w:r>
    </w:p>
    <w:p w14:paraId="62107213">
      <w:pPr>
        <w:pStyle w:val="8"/>
        <w:spacing w:before="0" w:after="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表1.综合评分表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0F70F2C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44E937F6">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02DCDE18">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21C975FB">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得分</w:t>
            </w:r>
          </w:p>
        </w:tc>
      </w:tr>
      <w:tr w14:paraId="17B3824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AFA394">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项目决策</w:t>
            </w:r>
          </w:p>
        </w:tc>
        <w:tc>
          <w:tcPr>
            <w:tcW w:w="2168" w:type="dxa"/>
            <w:tcBorders>
              <w:top w:val="nil"/>
              <w:left w:val="nil"/>
              <w:bottom w:val="single" w:color="auto" w:sz="4" w:space="0"/>
              <w:right w:val="single" w:color="auto" w:sz="4" w:space="0"/>
            </w:tcBorders>
            <w:shd w:val="clear" w:color="auto" w:fill="auto"/>
            <w:vAlign w:val="center"/>
          </w:tcPr>
          <w:p w14:paraId="5B7134C1">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1C670F54">
            <w:pPr>
              <w:jc w:val="center"/>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w:t>
            </w:r>
          </w:p>
        </w:tc>
      </w:tr>
      <w:tr w14:paraId="4E0E9FE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CFB3825">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项目过程</w:t>
            </w:r>
          </w:p>
        </w:tc>
        <w:tc>
          <w:tcPr>
            <w:tcW w:w="2168" w:type="dxa"/>
            <w:tcBorders>
              <w:top w:val="nil"/>
              <w:left w:val="nil"/>
              <w:bottom w:val="single" w:color="auto" w:sz="4" w:space="0"/>
              <w:right w:val="single" w:color="auto" w:sz="4" w:space="0"/>
            </w:tcBorders>
            <w:shd w:val="clear" w:color="auto" w:fill="auto"/>
            <w:vAlign w:val="center"/>
          </w:tcPr>
          <w:p w14:paraId="1E77E3CF">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7250F796">
            <w:pPr>
              <w:jc w:val="center"/>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w:t>
            </w:r>
          </w:p>
        </w:tc>
      </w:tr>
      <w:tr w14:paraId="5FDF5DF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31EADBD">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项目产出</w:t>
            </w:r>
          </w:p>
        </w:tc>
        <w:tc>
          <w:tcPr>
            <w:tcW w:w="2168" w:type="dxa"/>
            <w:tcBorders>
              <w:top w:val="nil"/>
              <w:left w:val="nil"/>
              <w:bottom w:val="single" w:color="auto" w:sz="4" w:space="0"/>
              <w:right w:val="single" w:color="auto" w:sz="4" w:space="0"/>
            </w:tcBorders>
            <w:shd w:val="clear" w:color="auto" w:fill="auto"/>
            <w:vAlign w:val="center"/>
          </w:tcPr>
          <w:p w14:paraId="750DDC1D">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40</w:t>
            </w:r>
          </w:p>
        </w:tc>
        <w:tc>
          <w:tcPr>
            <w:tcW w:w="2278" w:type="dxa"/>
            <w:tcBorders>
              <w:top w:val="nil"/>
              <w:left w:val="nil"/>
              <w:bottom w:val="single" w:color="auto" w:sz="4" w:space="0"/>
              <w:right w:val="single" w:color="auto" w:sz="4" w:space="0"/>
            </w:tcBorders>
            <w:shd w:val="clear" w:color="auto" w:fill="auto"/>
            <w:vAlign w:val="center"/>
          </w:tcPr>
          <w:p w14:paraId="19C1BD7E">
            <w:pPr>
              <w:jc w:val="center"/>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39.84</w:t>
            </w:r>
          </w:p>
        </w:tc>
      </w:tr>
      <w:tr w14:paraId="64CBD75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E1BA56D">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项目效益</w:t>
            </w:r>
          </w:p>
        </w:tc>
        <w:tc>
          <w:tcPr>
            <w:tcW w:w="2168" w:type="dxa"/>
            <w:tcBorders>
              <w:top w:val="nil"/>
              <w:left w:val="nil"/>
              <w:bottom w:val="single" w:color="auto" w:sz="4" w:space="0"/>
              <w:right w:val="single" w:color="auto" w:sz="4" w:space="0"/>
            </w:tcBorders>
            <w:shd w:val="clear" w:color="auto" w:fill="auto"/>
            <w:vAlign w:val="center"/>
          </w:tcPr>
          <w:p w14:paraId="7F8E7870">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6380F9AC">
            <w:pPr>
              <w:jc w:val="center"/>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w:t>
            </w:r>
          </w:p>
        </w:tc>
      </w:tr>
      <w:tr w14:paraId="3E42A1A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2D850B">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合计</w:t>
            </w:r>
          </w:p>
        </w:tc>
        <w:tc>
          <w:tcPr>
            <w:tcW w:w="2168" w:type="dxa"/>
            <w:tcBorders>
              <w:top w:val="nil"/>
              <w:left w:val="nil"/>
              <w:bottom w:val="single" w:color="auto" w:sz="4" w:space="0"/>
              <w:right w:val="single" w:color="auto" w:sz="4" w:space="0"/>
            </w:tcBorders>
            <w:shd w:val="clear" w:color="auto" w:fill="auto"/>
            <w:vAlign w:val="center"/>
          </w:tcPr>
          <w:p w14:paraId="0FAF456C">
            <w:pPr>
              <w:jc w:val="cente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100</w:t>
            </w:r>
          </w:p>
        </w:tc>
        <w:tc>
          <w:tcPr>
            <w:tcW w:w="2278" w:type="dxa"/>
            <w:tcBorders>
              <w:top w:val="nil"/>
              <w:left w:val="nil"/>
              <w:bottom w:val="single" w:color="auto" w:sz="4" w:space="0"/>
              <w:right w:val="single" w:color="auto" w:sz="4" w:space="0"/>
            </w:tcBorders>
            <w:shd w:val="clear" w:color="auto" w:fill="auto"/>
            <w:vAlign w:val="center"/>
          </w:tcPr>
          <w:p w14:paraId="1BEC7C3A">
            <w:pPr>
              <w:jc w:val="center"/>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99.84</w:t>
            </w:r>
          </w:p>
        </w:tc>
      </w:tr>
    </w:tbl>
    <w:p w14:paraId="6453C40D">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四、绩效评价指标分析</w:t>
      </w:r>
    </w:p>
    <w:p w14:paraId="2478EBAE">
      <w:pPr>
        <w:pStyle w:val="8"/>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（一）项目决策情况</w:t>
      </w:r>
    </w:p>
    <w:p w14:paraId="4E342F9A">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项目决策类指标包括项目立项、绩效目标和资金投入三方面的内容，由6个三级指标构成，权重分值为20分，实际得分20分，得分率为100%。</w:t>
      </w:r>
    </w:p>
    <w:p w14:paraId="73B570D0">
      <w:pPr>
        <w:pStyle w:val="19"/>
        <w:spacing w:line="560" w:lineRule="exact"/>
        <w:ind w:firstLine="64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1.项目立项</w:t>
      </w:r>
    </w:p>
    <w:p w14:paraId="10648C52">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（1）立项依据充分性</w:t>
      </w:r>
    </w:p>
    <w:p w14:paraId="593E5E90">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F4394F7">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（2）立项程序规范性</w:t>
      </w:r>
    </w:p>
    <w:p w14:paraId="77FAC75D">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项目申请、设立过程符合相关要求，</w:t>
      </w:r>
      <w:r>
        <w:rPr>
          <w:rFonts w:hint="eastAsia" w:ascii="仿宋_GB2312" w:hAnsi="仿宋_GB2312" w:eastAsia="仿宋_GB2312" w:cs="仿宋_GB2312"/>
          <w:b w:val="0"/>
          <w:bCs w:val="0"/>
          <w:kern w:val="2"/>
          <w:sz w:val="32"/>
          <w:szCs w:val="32"/>
          <w:lang w:val="en-US" w:bidi="ar-SA"/>
        </w:rPr>
        <w:t>严格按照审批流程准备符合要求的文件、材料；</w:t>
      </w:r>
      <w:r>
        <w:rPr>
          <w:rFonts w:hint="eastAsia" w:ascii="仿宋_GB2312" w:hAnsi="仿宋_GB2312" w:eastAsia="仿宋_GB2312" w:cs="仿宋_GB2312"/>
          <w:b w:val="0"/>
          <w:bCs w:val="0"/>
          <w:kern w:val="2"/>
          <w:sz w:val="32"/>
          <w:szCs w:val="32"/>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910E180">
      <w:pPr>
        <w:pStyle w:val="19"/>
        <w:spacing w:line="560" w:lineRule="exact"/>
        <w:ind w:firstLine="64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2.绩效目标</w:t>
      </w:r>
    </w:p>
    <w:p w14:paraId="0310380C">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（1）绩效目标合理性</w:t>
      </w:r>
    </w:p>
    <w:p w14:paraId="09664E5E">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bidi="ar-SA"/>
        </w:rPr>
        <w:t>年初结合实际工作内容</w:t>
      </w:r>
      <w:r>
        <w:rPr>
          <w:rFonts w:hint="eastAsia" w:ascii="仿宋_GB2312" w:hAnsi="仿宋_GB2312" w:eastAsia="仿宋_GB2312" w:cs="仿宋_GB2312"/>
          <w:b w:val="0"/>
          <w:bCs w:val="0"/>
          <w:kern w:val="2"/>
          <w:sz w:val="32"/>
          <w:szCs w:val="32"/>
          <w:lang w:val="en-US" w:eastAsia="zh-CN" w:bidi="ar-SA"/>
        </w:rPr>
        <w:t>设定绩效目标</w:t>
      </w:r>
      <w:r>
        <w:rPr>
          <w:rFonts w:hint="eastAsia" w:ascii="仿宋_GB2312" w:hAnsi="仿宋_GB2312" w:eastAsia="仿宋_GB2312" w:cs="仿宋_GB2312"/>
          <w:b w:val="0"/>
          <w:bCs w:val="0"/>
          <w:kern w:val="2"/>
          <w:sz w:val="32"/>
          <w:szCs w:val="32"/>
          <w:lang w:val="en-US" w:bidi="ar-SA"/>
        </w:rPr>
        <w:t>，绩效目标</w:t>
      </w:r>
      <w:r>
        <w:rPr>
          <w:rFonts w:hint="eastAsia" w:ascii="仿宋_GB2312" w:hAnsi="仿宋_GB2312" w:eastAsia="仿宋_GB2312" w:cs="仿宋_GB2312"/>
          <w:b w:val="0"/>
          <w:bCs w:val="0"/>
          <w:kern w:val="2"/>
          <w:sz w:val="32"/>
          <w:szCs w:val="32"/>
          <w:lang w:val="en-US" w:eastAsia="zh-CN" w:bidi="ar-SA"/>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BA7791">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（2）绩效指标明确性</w:t>
      </w:r>
    </w:p>
    <w:p w14:paraId="49609304">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项目设置了明确的预期产出效益和效果，将绩效目标细化分解为具体的绩效指标，绩效目标与项目目标任务数相对应，绩效目标设定的绩效指标清晰、细化、可衡量。</w:t>
      </w:r>
    </w:p>
    <w:p w14:paraId="4CDBA920">
      <w:pPr>
        <w:rPr>
          <w:rFonts w:hint="eastAsia" w:ascii="仿宋_GB2312" w:hAnsi="仿宋_GB2312" w:eastAsia="仿宋_GB2312" w:cs="仿宋_GB2312"/>
          <w:b w:val="0"/>
          <w:bCs w:val="0"/>
          <w:kern w:val="2"/>
          <w:sz w:val="32"/>
          <w:szCs w:val="32"/>
          <w:lang w:val="en-US" w:eastAsia="zh-CN" w:bidi="ar-SA"/>
        </w:rPr>
      </w:pPr>
      <w:r>
        <w:br w:type="page"/>
      </w:r>
    </w:p>
    <w:p w14:paraId="265628F9">
      <w:pPr>
        <w:pStyle w:val="19"/>
        <w:spacing w:line="560" w:lineRule="exact"/>
        <w:ind w:firstLine="64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3.资金投入</w:t>
      </w:r>
    </w:p>
    <w:p w14:paraId="170960C7">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（1）预算编制科学性</w:t>
      </w:r>
    </w:p>
    <w:p w14:paraId="0AE449EC">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预算编制经过科学论证，提供充分的测算依据佐证资料，预算内容与项目内容相匹配。项目投资额与工作任务相匹配。</w:t>
      </w:r>
    </w:p>
    <w:p w14:paraId="115A0816">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（2）资金分配合理性</w:t>
      </w:r>
    </w:p>
    <w:p w14:paraId="4EA9989A">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资金分配额度与项目单位实际工作内容相适应，资金分配额度合理，资金分配依据充分。</w:t>
      </w:r>
    </w:p>
    <w:p w14:paraId="0A723ABB">
      <w:pPr>
        <w:pStyle w:val="8"/>
        <w:numPr>
          <w:ilvl w:val="0"/>
          <w:numId w:val="4"/>
        </w:numPr>
        <w:spacing w:before="0" w:after="0" w:line="56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项目过程情况</w:t>
      </w:r>
    </w:p>
    <w:p w14:paraId="7A34E2B4">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项目过程类指标包括资金管理和组织实施两方面的内容，由5个三级指标构成，权重分值为20分，实际得分20分，得分率为100%。</w:t>
      </w:r>
    </w:p>
    <w:p w14:paraId="07C157FE">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项目资金使用符合相关的财务管理制度规定，能够反映和考核项目资金的规范运行情况；项目实施单位的财务和业务管理制度健全，能够反映和考核财务和业务管理制度对项目顺利实施的保障情况。</w:t>
      </w:r>
    </w:p>
    <w:p w14:paraId="5C5B107B">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1.资金管理</w:t>
      </w:r>
    </w:p>
    <w:p w14:paraId="4F163312">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（1）资金到位率</w:t>
      </w:r>
    </w:p>
    <w:p w14:paraId="1D2DFB23">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本项目总投资83.53万元，财政资金及时足额到位，到位率100%，预算资金按计划进度执行。</w:t>
      </w:r>
    </w:p>
    <w:p w14:paraId="27550256">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（2）预算执行率</w:t>
      </w:r>
    </w:p>
    <w:p w14:paraId="21D433AE">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预算编制较为详细，项目资金支出总体能够按照预算执行，预算资金支出64.54万元，预算执行率为77.27%。</w:t>
      </w:r>
    </w:p>
    <w:p w14:paraId="54995977">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（3）资金使用合规性</w:t>
      </w:r>
    </w:p>
    <w:p w14:paraId="39779061">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E45BBE9">
      <w:pPr>
        <w:pStyle w:val="19"/>
        <w:spacing w:line="560" w:lineRule="exact"/>
        <w:ind w:firstLine="64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2.组织实施</w:t>
      </w:r>
    </w:p>
    <w:p w14:paraId="107B48AB">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（1）管理制度健全性</w:t>
      </w:r>
    </w:p>
    <w:p w14:paraId="307A2C7C">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E1E617C">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（2）制度执行有效性</w:t>
      </w:r>
    </w:p>
    <w:p w14:paraId="1C627AF3">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对资金使用的合法合规性进行监督，年末对资金使用效果进行评价。项目管理、实施人员落实到位，有效按照计划执行。项目执行情况等资料齐全，项目相关手续完备，及时进行归档。</w:t>
      </w:r>
    </w:p>
    <w:p w14:paraId="7E9DBCE0">
      <w:pPr>
        <w:pStyle w:val="9"/>
        <w:numPr>
          <w:ilvl w:val="0"/>
          <w:numId w:val="4"/>
        </w:numPr>
        <w:spacing w:line="560" w:lineRule="exact"/>
        <w:ind w:firstLine="64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项目产出情况</w:t>
      </w:r>
    </w:p>
    <w:p w14:paraId="1022704D">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项目产出类指标包括产出数量、产出质量、产出时效、产出成本四方面的内容，由9个三级指标构成，权重分为40分，实际得分39.84分，得分率为99.6 %。具体产出指标完成情况如下：</w:t>
      </w:r>
    </w:p>
    <w:p w14:paraId="1A43D385">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①数量指标：</w:t>
      </w:r>
    </w:p>
    <w:p w14:paraId="69986C89">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指标1：教师参加培训次数，指标值：大于等于20次 ，实际完成值：20次 ，指标完成率 100%。</w:t>
      </w:r>
    </w:p>
    <w:p w14:paraId="538D0565">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指标2：购置各类教育教学用品，指标值：大于等于40类，实际完成值：40类，指标完成率100%。</w:t>
      </w:r>
    </w:p>
    <w:p w14:paraId="69866041">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指标3：每月支付水电费，指标值：小于等于12次 ，实际完成值：12次 ，指标完成率100%。</w:t>
      </w:r>
    </w:p>
    <w:p w14:paraId="1D001B59">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②质量指标：</w:t>
      </w:r>
    </w:p>
    <w:p w14:paraId="280EDCEF">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指标1：购置教育教学用品质量合格率，指标值：大于等于95%，实际完成值100%，指标完成率105.26 %。</w:t>
      </w:r>
    </w:p>
    <w:p w14:paraId="05C6175E">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指标2：教师培训结业率，指标值：=100%，实际完成值100%，指标完成率100 %。</w:t>
      </w:r>
    </w:p>
    <w:p w14:paraId="55908A9E">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指标3：支付水费及时率，指标值：大于等于95%，实际完成值100%，指标完成率105.26 %。</w:t>
      </w:r>
    </w:p>
    <w:p w14:paraId="4669DA79">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③时效指标：</w:t>
      </w:r>
    </w:p>
    <w:p w14:paraId="06ACC7C3">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无项目产出类指标包括产出数量、产出质量、产出时效、产出成本四方面的内容，由1个三级指标构成，权重分为40分，实际得分40分，得分率为100%。</w:t>
      </w:r>
    </w:p>
    <w:p w14:paraId="24BFCF47">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fldChar w:fldCharType="begin"/>
      </w:r>
      <w:r>
        <w:rPr>
          <w:rFonts w:hint="eastAsia" w:ascii="仿宋_GB2312" w:hAnsi="仿宋_GB2312" w:eastAsia="仿宋_GB2312" w:cs="仿宋_GB2312"/>
          <w:b w:val="0"/>
          <w:bCs w:val="0"/>
          <w:kern w:val="2"/>
          <w:sz w:val="32"/>
          <w:szCs w:val="32"/>
          <w:lang w:val="en-US" w:eastAsia="zh-CN" w:bidi="ar-SA"/>
        </w:rPr>
        <w:instrText xml:space="preserve"> = 4 \* GB3 </w:instrText>
      </w:r>
      <w:r>
        <w:rPr>
          <w:rFonts w:hint="eastAsia" w:ascii="仿宋_GB2312" w:hAnsi="仿宋_GB2312" w:eastAsia="仿宋_GB2312" w:cs="仿宋_GB2312"/>
          <w:b w:val="0"/>
          <w:bCs w:val="0"/>
          <w:kern w:val="2"/>
          <w:sz w:val="32"/>
          <w:szCs w:val="32"/>
          <w:lang w:val="en-US" w:eastAsia="zh-CN" w:bidi="ar-SA"/>
        </w:rPr>
        <w:fldChar w:fldCharType="separate"/>
      </w:r>
      <w:r>
        <w:rPr>
          <w:rFonts w:hint="eastAsia" w:ascii="仿宋_GB2312" w:hAnsi="仿宋_GB2312" w:eastAsia="仿宋_GB2312" w:cs="仿宋_GB2312"/>
          <w:b w:val="0"/>
          <w:bCs w:val="0"/>
          <w:kern w:val="2"/>
          <w:sz w:val="32"/>
          <w:szCs w:val="32"/>
          <w:lang w:val="en-US" w:eastAsia="zh-CN" w:bidi="ar-SA"/>
        </w:rPr>
        <w:t>④</w:t>
      </w:r>
      <w:r>
        <w:rPr>
          <w:rFonts w:hint="eastAsia" w:ascii="仿宋_GB2312" w:hAnsi="仿宋_GB2312" w:eastAsia="仿宋_GB2312" w:cs="仿宋_GB2312"/>
          <w:b w:val="0"/>
          <w:bCs w:val="0"/>
          <w:kern w:val="2"/>
          <w:sz w:val="32"/>
          <w:szCs w:val="32"/>
          <w:lang w:val="en-US" w:eastAsia="zh-CN" w:bidi="ar-SA"/>
        </w:rPr>
        <w:fldChar w:fldCharType="end"/>
      </w:r>
      <w:r>
        <w:rPr>
          <w:rFonts w:hint="eastAsia" w:ascii="仿宋_GB2312" w:hAnsi="仿宋_GB2312" w:eastAsia="仿宋_GB2312" w:cs="仿宋_GB2312"/>
          <w:b w:val="0"/>
          <w:bCs w:val="0"/>
          <w:kern w:val="2"/>
          <w:sz w:val="32"/>
          <w:szCs w:val="32"/>
          <w:lang w:val="en-US" w:eastAsia="zh-CN" w:bidi="ar-SA"/>
        </w:rPr>
        <w:t>成本指标：</w:t>
      </w:r>
    </w:p>
    <w:p w14:paraId="677902CC">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指标1：教师培训成本，指标值：小于等于4000元/次，实际完成值4000元/次，指标完成率100%。</w:t>
      </w:r>
    </w:p>
    <w:p w14:paraId="2B83D168">
      <w:pPr>
        <w:pStyle w:val="8"/>
        <w:jc w:val="left"/>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指标2：购置各类教育教学用品的成本，指标值：小于等于5000元/类，实际完成值4980元/类，指标完成率99.6%</w:t>
      </w:r>
      <w:r>
        <w:rPr>
          <w:rFonts w:hint="eastAsia" w:ascii="仿宋_GB2312" w:hAnsi="仿宋_GB2312" w:eastAsia="仿宋_GB2312" w:cs="仿宋_GB2312"/>
          <w:b w:val="0"/>
          <w:bCs w:val="0"/>
          <w:color w:val="auto"/>
          <w:kern w:val="2"/>
          <w:sz w:val="32"/>
          <w:szCs w:val="32"/>
          <w:lang w:val="en-US" w:eastAsia="zh-CN" w:bidi="ar-SA"/>
        </w:rPr>
        <w:tab/>
      </w:r>
      <w:r>
        <w:rPr>
          <w:rFonts w:hint="eastAsia" w:ascii="仿宋_GB2312" w:hAnsi="仿宋_GB2312" w:eastAsia="仿宋_GB2312" w:cs="仿宋_GB2312"/>
          <w:b w:val="0"/>
          <w:bCs w:val="0"/>
          <w:color w:val="auto"/>
          <w:kern w:val="2"/>
          <w:sz w:val="32"/>
          <w:szCs w:val="32"/>
          <w:lang w:val="en-US" w:eastAsia="zh-CN" w:bidi="ar-SA"/>
        </w:rPr>
        <w:t>。偏差原因：预算偏差。改进措施：今后参考项目实施情况和历年完成值，进一步提高绩效目标设置的精准性，降低指标偏差。</w:t>
      </w:r>
    </w:p>
    <w:p w14:paraId="186B8AF1">
      <w:pPr>
        <w:pStyle w:val="8"/>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 xml:space="preserve">    指标3：每月支付水电费金额，指标值：小于等于13000元，实际完成值13000元，指标完成率100%。</w:t>
      </w:r>
    </w:p>
    <w:p w14:paraId="4FEC8A80">
      <w:pPr>
        <w:pStyle w:val="9"/>
        <w:numPr>
          <w:ilvl w:val="0"/>
          <w:numId w:val="4"/>
        </w:numPr>
        <w:spacing w:line="560" w:lineRule="exact"/>
        <w:ind w:firstLine="64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项目效益情况</w:t>
      </w:r>
    </w:p>
    <w:p w14:paraId="17C44BBF">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项目效益类指标包括项目实施效益和满意度两方面的内容，由4个三级指标构成，权重分为20分，实际得分20分，得分率为100%。具体效益指标及满意度指标完成情况如下：</w:t>
      </w:r>
    </w:p>
    <w:p w14:paraId="2B6C7B0F">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1.实施效益</w:t>
      </w:r>
    </w:p>
    <w:p w14:paraId="18200B61">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①经济效益指标：无</w:t>
      </w:r>
    </w:p>
    <w:p w14:paraId="614FD180">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②社会效益指标：</w:t>
      </w:r>
    </w:p>
    <w:p w14:paraId="189FE84C">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指标①：提高学校教学水平，指标值：有效提高。实际完成值：有效提高，指标完成率100 %。</w:t>
      </w:r>
    </w:p>
    <w:p w14:paraId="037F3DCD">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指标②：改善办学条件，指标值：有效提高。实际完成值：有效提高，指标完成率100 %。</w:t>
      </w:r>
    </w:p>
    <w:p w14:paraId="21F1DA10">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③生态效益指标：无</w:t>
      </w:r>
    </w:p>
    <w:p w14:paraId="2533345F">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2.满意度</w:t>
      </w:r>
    </w:p>
    <w:p w14:paraId="2D6936F9">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满意度指标：</w:t>
      </w:r>
    </w:p>
    <w:p w14:paraId="28FFA9CB">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指标①：全体教师满意度，指标值：满意率大于等于95%。实际完成值：100%，指标完成率105.26 %。</w:t>
      </w:r>
    </w:p>
    <w:p w14:paraId="53464CF3">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指标②：培训教师满意度，指标值：满意率大于等于95%。实际完成值：100%，指标完成率105.26 %。</w:t>
      </w:r>
    </w:p>
    <w:p w14:paraId="727D7743">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五、主要经验及做法、存在的问题及原因分析</w:t>
      </w:r>
    </w:p>
    <w:p w14:paraId="00ACFD4E">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（一）主要经验及做法</w:t>
      </w:r>
    </w:p>
    <w:p w14:paraId="7E6BE78A">
      <w:pPr>
        <w:pStyle w:val="8"/>
        <w:spacing w:before="0" w:after="0" w:line="56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严格按照预算科目执行，安排专人对预算项目执行情况进行定期和不定期的督查，确保资金的专款专用和及时使用，发挥资金的使用效益。按财政专项资金管理的有关规定科学地编制项目预算，设定绩效目标。项目在实施过程如实际情况发生变化应按程序及时调整预算和绩效目标。</w:t>
      </w:r>
    </w:p>
    <w:p w14:paraId="556CEB53">
      <w:pPr>
        <w:pStyle w:val="8"/>
        <w:spacing w:before="0" w:after="0" w:line="56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按照国家财经法规，从实际出发不断建立完善预算执行制度，并严格执行。提升预算编制的完整性，将所有政府收支项目纳入预算管理，结合单位实际情况出发，综合安排各项经费支出，确保支出的准确性及时性。</w:t>
      </w:r>
    </w:p>
    <w:p w14:paraId="76079459">
      <w:pPr>
        <w:pStyle w:val="8"/>
        <w:spacing w:before="0" w:after="0" w:line="56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2CFAB61">
      <w:pPr>
        <w:pStyle w:val="8"/>
        <w:spacing w:before="0" w:after="0" w:line="56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C22FB42">
      <w:pPr>
        <w:pStyle w:val="8"/>
        <w:spacing w:before="0" w:after="0" w:line="56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（二）存在的问题及原因分析</w:t>
      </w:r>
    </w:p>
    <w:p w14:paraId="17336A0F">
      <w:pPr>
        <w:pStyle w:val="8"/>
        <w:spacing w:before="0" w:after="0" w:line="56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6D44B353">
      <w:pPr>
        <w:pStyle w:val="8"/>
        <w:spacing w:before="0" w:after="0" w:line="56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2.因轮岗、调动、等因素使我单位绩效工作人员流动频繁，造成了工作衔接不到位的情况。</w:t>
      </w:r>
    </w:p>
    <w:p w14:paraId="7E278E41">
      <w:pPr>
        <w:pStyle w:val="8"/>
        <w:spacing w:before="0" w:after="0" w:line="56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3.预算编制的合理性相对不足，主要表现在预算调整数较大，年度目标与长期规划衔接的紧密程度需要增强。。</w:t>
      </w:r>
    </w:p>
    <w:p w14:paraId="2FC2B38D">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六</w:t>
      </w:r>
      <w:r>
        <w:rPr>
          <w:rFonts w:hint="eastAsia" w:ascii="仿宋_GB2312" w:hAnsi="仿宋_GB2312" w:eastAsia="仿宋_GB2312" w:cs="仿宋_GB2312"/>
          <w:b w:val="0"/>
          <w:bCs w:val="0"/>
          <w:kern w:val="2"/>
          <w:sz w:val="32"/>
          <w:szCs w:val="32"/>
          <w:lang w:val="en-US" w:bidi="ar-SA"/>
        </w:rPr>
        <w:t>、</w:t>
      </w:r>
      <w:r>
        <w:rPr>
          <w:rFonts w:hint="eastAsia" w:ascii="仿宋_GB2312" w:hAnsi="仿宋_GB2312" w:eastAsia="仿宋_GB2312" w:cs="仿宋_GB2312"/>
          <w:b w:val="0"/>
          <w:bCs w:val="0"/>
          <w:kern w:val="2"/>
          <w:sz w:val="32"/>
          <w:szCs w:val="32"/>
          <w:lang w:val="en-US" w:eastAsia="zh-CN" w:bidi="ar-SA"/>
        </w:rPr>
        <w:t>有关建议</w:t>
      </w:r>
    </w:p>
    <w:p w14:paraId="0FF5BED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1.多进行有关绩效管理工作方面的培训。积极组织第三方</w:t>
      </w:r>
      <w:r>
        <w:rPr>
          <w:rFonts w:hint="eastAsia" w:ascii="仿宋_GB2312" w:hAnsi="仿宋_GB2312" w:eastAsia="仿宋_GB2312" w:cs="仿宋_GB2312"/>
          <w:sz w:val="32"/>
          <w:szCs w:val="32"/>
        </w:rPr>
        <w:t>开展绩效管理工作培训，进一步夯实业务基础，提高我单位绩效人员水平。</w:t>
      </w:r>
    </w:p>
    <w:p w14:paraId="4B972A2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14:paraId="0AE9A74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w:t>
      </w:r>
    </w:p>
    <w:p w14:paraId="06CC953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管理办法等稳步推进工作，各部门单位根据自己项目的特点进行总结。</w:t>
      </w:r>
    </w:p>
    <w:p w14:paraId="2F8D4404">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4.进一步完善项目评价过程中有关数据和资料的收集、整理、审核及分析。项目启动时同步做好档案的归纳与整理，及时整理、收集、汇总，健全档案资料。目</w:t>
      </w:r>
    </w:p>
    <w:p w14:paraId="21455F7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后续管理有待进一步加强和跟踪。</w:t>
      </w:r>
    </w:p>
    <w:p w14:paraId="2587608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w:t>
      </w:r>
    </w:p>
    <w:p w14:paraId="35373CD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品安全考核建立绩效工作考核制度，加大全局对全面实施预算绩效管理和绩效管理工作的学习力度，让“花钱必问效，无效必问责”的理念深入工作每个环节。</w:t>
      </w:r>
    </w:p>
    <w:p w14:paraId="7E29796A">
      <w:pPr>
        <w:spacing w:line="560" w:lineRule="exact"/>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2" w:name="page8"/>
      <w:bookmarkEnd w:id="2"/>
      <w:r>
        <w:rPr>
          <w:rFonts w:eastAsia="黑体"/>
          <w:sz w:val="32"/>
          <w:szCs w:val="32"/>
        </w:rPr>
        <w:t>明的问题</w:t>
      </w:r>
    </w:p>
    <w:p w14:paraId="57C64817">
      <w:pPr>
        <w:pStyle w:val="10"/>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p>
    <w:p w14:paraId="56D3574A"/>
    <w:sectPr>
      <w:footerReference r:id="rId3" w:type="default"/>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ED4844-9B66-4F14-8F14-C192A2930D8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6956C351-5149-4D5D-BE5B-39E7379AB981}"/>
  </w:font>
  <w:font w:name="华文中宋">
    <w:panose1 w:val="02010600040101010101"/>
    <w:charset w:val="86"/>
    <w:family w:val="auto"/>
    <w:pitch w:val="default"/>
    <w:sig w:usb0="00000287" w:usb1="080F0000" w:usb2="00000000" w:usb3="00000000" w:csb0="0004009F" w:csb1="DFD70000"/>
    <w:embedRegular r:id="rId3" w:fontKey="{5C5DDAE9-8613-49CA-86BA-EBB796EC3070}"/>
  </w:font>
  <w:font w:name="方正小标宋_GBK">
    <w:panose1 w:val="02000000000000000000"/>
    <w:charset w:val="86"/>
    <w:family w:val="script"/>
    <w:pitch w:val="default"/>
    <w:sig w:usb0="A00002BF" w:usb1="38CF7CFA" w:usb2="00082016" w:usb3="00000000" w:csb0="00040001" w:csb1="00000000"/>
    <w:embedRegular r:id="rId4" w:fontKey="{2724F06D-F1AB-407F-842E-6DDA6C307E59}"/>
  </w:font>
  <w:font w:name="楷体_GB2312">
    <w:panose1 w:val="02010609030101010101"/>
    <w:charset w:val="86"/>
    <w:family w:val="auto"/>
    <w:pitch w:val="default"/>
    <w:sig w:usb0="00000001" w:usb1="080E0000" w:usb2="00000000" w:usb3="00000000" w:csb0="00040000" w:csb1="00000000"/>
    <w:embedRegular r:id="rId5" w:fontKey="{0F8FBCA1-D2C6-4F25-8807-58E0396E7156}"/>
  </w:font>
  <w:font w:name="方正仿宋_GBK">
    <w:panose1 w:val="02000000000000000000"/>
    <w:charset w:val="86"/>
    <w:family w:val="auto"/>
    <w:pitch w:val="default"/>
    <w:sig w:usb0="A00002BF" w:usb1="38CF7CFA" w:usb2="00082016" w:usb3="00000000" w:csb0="00040001" w:csb1="00000000"/>
    <w:embedRegular r:id="rId6" w:fontKey="{B3EAE90F-B571-4A27-90AC-75F625369DAA}"/>
  </w:font>
  <w:font w:name="楷体">
    <w:panose1 w:val="02010609060101010101"/>
    <w:charset w:val="86"/>
    <w:family w:val="modern"/>
    <w:pitch w:val="default"/>
    <w:sig w:usb0="800002BF" w:usb1="38CF7CFA" w:usb2="00000016" w:usb3="00000000" w:csb0="00040001" w:csb1="00000000"/>
    <w:embedRegular r:id="rId7" w:fontKey="{D76703CA-9690-4A2A-AC0C-09509E274896}"/>
  </w:font>
  <w:font w:name="WPSEMBED1">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1181A6F5">
        <w:pPr>
          <w:pStyle w:val="6"/>
          <w:jc w:val="center"/>
        </w:pPr>
        <w:r>
          <w:fldChar w:fldCharType="begin"/>
        </w:r>
        <w:r>
          <w:instrText xml:space="preserve">PAGE   \* MERGEFORMAT</w:instrText>
        </w:r>
        <w:r>
          <w:fldChar w:fldCharType="separate"/>
        </w:r>
        <w:r>
          <w:rPr>
            <w:lang w:val="zh-CN"/>
          </w:rPr>
          <w:t>13</w:t>
        </w:r>
        <w:r>
          <w:fldChar w:fldCharType="end"/>
        </w:r>
      </w:p>
    </w:sdtContent>
  </w:sdt>
  <w:p w14:paraId="02730514">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3"/>
      <w:numFmt w:val="chineseCounting"/>
      <w:suff w:val="nothing"/>
      <w:lvlText w:val="（%1）"/>
      <w:lvlJc w:val="left"/>
      <w:rPr>
        <w:rFonts w:hint="eastAsia"/>
      </w:rPr>
    </w:lvl>
  </w:abstractNum>
  <w:abstractNum w:abstractNumId="2">
    <w:nsid w:val="0053208E"/>
    <w:multiLevelType w:val="singleLevel"/>
    <w:tmpl w:val="0053208E"/>
    <w:lvl w:ilvl="0" w:tentative="0">
      <w:start w:val="1"/>
      <w:numFmt w:val="decimal"/>
      <w:suff w:val="nothing"/>
      <w:lvlText w:val="（%1）"/>
      <w:lvlJc w:val="left"/>
    </w:lvl>
  </w:abstractNum>
  <w:abstractNum w:abstractNumId="3">
    <w:nsid w:val="59ADCABA"/>
    <w:multiLevelType w:val="singleLevel"/>
    <w:tmpl w:val="59ADCABA"/>
    <w:lvl w:ilvl="0" w:tentative="0">
      <w:start w:val="3"/>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Tc4MTI4MmUwMzFiMGIzNWU0YTYxMTBhOTIwYTkifQ=="/>
  </w:docVars>
  <w:rsids>
    <w:rsidRoot w:val="00000000"/>
    <w:rsid w:val="02020CA1"/>
    <w:rsid w:val="03287887"/>
    <w:rsid w:val="243721E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0"/>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9">
    <w:name w:val="Body Text First Indent"/>
    <w:basedOn w:val="3"/>
    <w:qFormat/>
    <w:uiPriority w:val="0"/>
    <w:pPr>
      <w:spacing w:after="0"/>
      <w:ind w:firstLine="200" w:firstLineChars="200"/>
    </w:pPr>
  </w:style>
  <w:style w:type="paragraph" w:styleId="10">
    <w:name w:val="Body Text First Indent 2"/>
    <w:basedOn w:val="4"/>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qFormat/>
    <w:uiPriority w:val="0"/>
    <w:rPr>
      <w:b/>
      <w:bCs/>
    </w:rPr>
  </w:style>
  <w:style w:type="paragraph" w:customStyle="1" w:styleId="15">
    <w:name w:val="Comment Text"/>
    <w:basedOn w:val="1"/>
    <w:link w:val="22"/>
    <w:qFormat/>
    <w:uiPriority w:val="0"/>
    <w:pPr>
      <w:jc w:val="left"/>
    </w:pPr>
  </w:style>
  <w:style w:type="paragraph" w:customStyle="1" w:styleId="16">
    <w:name w:val="Comment Subject"/>
    <w:basedOn w:val="15"/>
    <w:next w:val="15"/>
    <w:link w:val="23"/>
    <w:qFormat/>
    <w:uiPriority w:val="0"/>
    <w:rPr>
      <w:b/>
      <w:bCs/>
    </w:rPr>
  </w:style>
  <w:style w:type="character" w:customStyle="1" w:styleId="17">
    <w:name w:val="Comment Reference"/>
    <w:basedOn w:val="13"/>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3"/>
    <w:link w:val="5"/>
    <w:qFormat/>
    <w:uiPriority w:val="0"/>
    <w:rPr>
      <w:rFonts w:ascii="Times New Roman" w:hAnsi="Times New Roman" w:eastAsia="宋体" w:cs="Times New Roman"/>
      <w:kern w:val="2"/>
      <w:sz w:val="18"/>
      <w:szCs w:val="18"/>
    </w:rPr>
  </w:style>
  <w:style w:type="character" w:customStyle="1" w:styleId="21">
    <w:name w:val="页眉 字符"/>
    <w:basedOn w:val="13"/>
    <w:link w:val="7"/>
    <w:qFormat/>
    <w:uiPriority w:val="0"/>
    <w:rPr>
      <w:rFonts w:ascii="Times New Roman" w:hAnsi="Times New Roman" w:eastAsia="宋体" w:cs="Times New Roman"/>
      <w:kern w:val="2"/>
      <w:sz w:val="18"/>
      <w:szCs w:val="18"/>
    </w:rPr>
  </w:style>
  <w:style w:type="character" w:customStyle="1" w:styleId="22">
    <w:name w:val="批注文字 字符"/>
    <w:basedOn w:val="13"/>
    <w:link w:val="15"/>
    <w:qFormat/>
    <w:uiPriority w:val="0"/>
    <w:rPr>
      <w:rFonts w:ascii="Times New Roman" w:hAnsi="Times New Roman" w:eastAsia="宋体" w:cs="Times New Roman"/>
      <w:kern w:val="2"/>
      <w:sz w:val="21"/>
      <w:szCs w:val="24"/>
    </w:rPr>
  </w:style>
  <w:style w:type="character" w:customStyle="1" w:styleId="23">
    <w:name w:val="批注主题 字符"/>
    <w:basedOn w:val="22"/>
    <w:link w:val="1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57B476E18CEF4E28987935C96B98FDAF_13</vt:lpwstr>
  </property>
  <property fmtid="{D5CDD505-2E9C-101B-9397-08002B2CF9AE}" pid="4" name="KSOTemplateDocerSaveRecord">
    <vt:lpwstr>eyJoZGlkIjoiNDZmZGE0ZTQ2NDc3YTZiNTEwZjg1Nzc1YTU4MmFlZjAiLCJ1c2VySWQiOiIyNzg1Nzk4NjYifQ==</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1693a-a97d-4382-a8bd-29d672a80590}">
  <ds:schemaRefs/>
</ds:datastoreItem>
</file>

<file path=customXml/itemProps2.xml><?xml version="1.0" encoding="utf-8"?>
<ds:datastoreItem xmlns:ds="http://schemas.openxmlformats.org/officeDocument/2006/customXml" ds:itemID="{EEA5C986-6CAE-461A-935E-905AB5D0E2F3}">
  <ds:schemaRefs/>
</ds:datastoreItem>
</file>

<file path=docProps/app.xml><?xml version="1.0" encoding="utf-8"?>
<Properties xmlns="http://schemas.openxmlformats.org/officeDocument/2006/extended-properties" xmlns:vt="http://schemas.openxmlformats.org/officeDocument/2006/docPropsVTypes">
  <Template>Normal</Template>
  <Pages>23</Pages>
  <Words>5179</Words>
  <Characters>5453</Characters>
  <Lines>66</Lines>
  <Paragraphs>18</Paragraphs>
  <TotalTime>0</TotalTime>
  <ScaleCrop>false</ScaleCrop>
  <LinksUpToDate>false</LinksUpToDate>
  <CharactersWithSpaces>5463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2025-11-05T10:15:47Z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57B476E18CEF4E28987935C96B98FDAF_13</vt:lpwstr>
  </property>
  <property fmtid="{D5CDD505-2E9C-101B-9397-08002B2CF9AE}" pid="4" name="KSOTemplateDocerSaveRecord">
    <vt:lpwstr>eyJoZGlkIjoiN2E1ZDY0MDI5MTE3YjM0ZGMyMzg4N2EwMDI4ZjJiM2YiLCJ1c2VySWQiOiIyNTk4NTcxMjUifQ==</vt:lpwstr>
  </property>
</Properties>
</file>